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74973E09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2E7A19" w:rsidRPr="002E7A19">
        <w:rPr>
          <w:rFonts w:ascii="Verdana" w:hAnsi="Verdana"/>
          <w:b/>
          <w:bCs/>
          <w:sz w:val="18"/>
          <w:szCs w:val="18"/>
        </w:rPr>
        <w:t>„Oprava a revize EZS, EPS a ASHS 2024</w:t>
      </w:r>
      <w:r w:rsidRPr="002E7A19">
        <w:rPr>
          <w:rFonts w:ascii="Verdana" w:hAnsi="Verdana"/>
          <w:b/>
          <w:bCs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7777777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241937C5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4974B0E6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>splnění podmínek v souvislosti se situací na Ukrajině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E7A19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F5BA32-5AD5-4423-807A-BE7EFD33DD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407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6</cp:revision>
  <cp:lastPrinted>2018-03-26T11:24:00Z</cp:lastPrinted>
  <dcterms:created xsi:type="dcterms:W3CDTF">2023-06-05T11:49:00Z</dcterms:created>
  <dcterms:modified xsi:type="dcterms:W3CDTF">2023-10-25T05:52:00Z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